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42832" w14:textId="77777777" w:rsidR="00417158" w:rsidRDefault="00000000">
      <w:pPr>
        <w:spacing w:after="240" w:line="276" w:lineRule="auto"/>
        <w:jc w:val="center"/>
      </w:pPr>
      <w:r>
        <w:rPr>
          <w:rFonts w:ascii="Garamond" w:hAnsi="Garamond" w:cs="Garamond"/>
          <w:i/>
          <w:iCs/>
          <w:szCs w:val="20"/>
        </w:rPr>
        <w:t>Progetto «RETE ITS ACADEMY CAMPANIA: Orientamento 4.0 e Futuro Professionale» – CUP B34D25005850006 – PNRR, Missione 4, Componente 1, Investimento 1.5 «Sviluppo del sistema di formazione professionale terziaria (ITS)», finanziato dall’Unione europea – NextGenerationEU – Avviso pubblico MIM prot. n. 45327 del 2 marzo 2026 – D.M. n. 242/2025 – Contratto di finanziamento CA00000007 – M4C1I1.5-2026-1725-P-63838 del 29/04/2026</w:t>
      </w:r>
    </w:p>
    <w:p w14:paraId="3006FC41" w14:textId="77777777" w:rsidR="00417158" w:rsidRDefault="00000000">
      <w:pPr>
        <w:spacing w:after="60" w:line="276" w:lineRule="auto"/>
        <w:jc w:val="center"/>
      </w:pPr>
      <w:r>
        <w:rPr>
          <w:rFonts w:ascii="Garamond" w:hAnsi="Garamond" w:cs="Garamond"/>
          <w:b/>
          <w:bCs/>
          <w:sz w:val="26"/>
          <w:szCs w:val="26"/>
        </w:rPr>
        <w:t>ALLEGATO B – INFORMATIVA SUL TRATTAMENTO DEI DATI PERSONALI</w:t>
      </w:r>
    </w:p>
    <w:p w14:paraId="17080748" w14:textId="77777777" w:rsidR="00417158" w:rsidRDefault="00000000">
      <w:pPr>
        <w:spacing w:after="240" w:line="276" w:lineRule="auto"/>
        <w:jc w:val="center"/>
      </w:pPr>
      <w:r>
        <w:rPr>
          <w:rFonts w:ascii="Garamond" w:hAnsi="Garamond" w:cs="Garamond"/>
          <w:i/>
          <w:iCs/>
          <w:sz w:val="24"/>
          <w:szCs w:val="24"/>
        </w:rPr>
        <w:t>ai sensi degli artt. 13 e 14 del Regolamento (UE) 2016/679 (di seguito «GDPR»)</w:t>
      </w:r>
    </w:p>
    <w:p w14:paraId="2A0C1B71" w14:textId="77777777" w:rsidR="00417158" w:rsidRDefault="00000000">
      <w:pPr>
        <w:keepNext/>
        <w:spacing w:before="120" w:after="120" w:line="276" w:lineRule="auto"/>
        <w:jc w:val="both"/>
      </w:pPr>
      <w:r>
        <w:rPr>
          <w:rFonts w:ascii="Garamond" w:hAnsi="Garamond" w:cs="Garamond"/>
          <w:b/>
          <w:bCs/>
          <w:sz w:val="24"/>
          <w:szCs w:val="24"/>
        </w:rPr>
        <w:t>1. Titolare del trattamento</w:t>
      </w:r>
    </w:p>
    <w:p w14:paraId="2D858010" w14:textId="0F3543BD" w:rsidR="00417158" w:rsidRDefault="00000000">
      <w:pPr>
        <w:spacing w:after="120" w:line="276" w:lineRule="auto"/>
        <w:jc w:val="both"/>
      </w:pPr>
      <w:r>
        <w:rPr>
          <w:rFonts w:ascii="Garamond" w:hAnsi="Garamond" w:cs="Garamond"/>
          <w:sz w:val="24"/>
          <w:szCs w:val="24"/>
        </w:rPr>
        <w:t xml:space="preserve">Titolare del trattamento è la Fondazione ITS Academy Manifattura Meccanica MA.ME., con sede in Ercolano (NA), Villa Campolieto, Corso Resina, 283 – PEC: itsmame4.0@pec.it. </w:t>
      </w:r>
    </w:p>
    <w:p w14:paraId="758EC09F" w14:textId="77777777" w:rsidR="00417158" w:rsidRDefault="00000000">
      <w:pPr>
        <w:keepNext/>
        <w:spacing w:before="120" w:after="120" w:line="276" w:lineRule="auto"/>
        <w:jc w:val="both"/>
      </w:pPr>
      <w:r>
        <w:rPr>
          <w:rFonts w:ascii="Garamond" w:hAnsi="Garamond" w:cs="Garamond"/>
          <w:b/>
          <w:bCs/>
          <w:sz w:val="24"/>
          <w:szCs w:val="24"/>
        </w:rPr>
        <w:t>2. Dati trattati</w:t>
      </w:r>
    </w:p>
    <w:p w14:paraId="008099AA" w14:textId="77777777" w:rsidR="00417158" w:rsidRDefault="00000000">
      <w:pPr>
        <w:spacing w:after="120" w:line="276" w:lineRule="auto"/>
        <w:jc w:val="both"/>
      </w:pPr>
      <w:r>
        <w:rPr>
          <w:rFonts w:ascii="Garamond" w:hAnsi="Garamond" w:cs="Garamond"/>
          <w:sz w:val="24"/>
          <w:szCs w:val="24"/>
        </w:rPr>
        <w:t>Per tutti i candidati sono trattati i dati anagrafici e di contatto, i dati relativi alla cittadinanza o al titolo di soggiorno, al titolo di studio e alle esperienze professionali, i dati contenuti nel curriculum vitae e nel documento di identità e le dichiarazioni rese nella domanda, comprese quelle in materia di conflitto di interessi e di rapporto di pubblico impiego, nonché i dati relativi alle esperienze, alle certificazioni e ai contenuti realizzati indicati ai fini dell’abbinamento ai fabbisogni.</w:t>
      </w:r>
    </w:p>
    <w:p w14:paraId="6093B2A6" w14:textId="77777777" w:rsidR="00417158" w:rsidRDefault="00000000">
      <w:pPr>
        <w:spacing w:after="120" w:line="276" w:lineRule="auto"/>
        <w:jc w:val="both"/>
      </w:pPr>
      <w:r>
        <w:rPr>
          <w:rFonts w:ascii="Garamond" w:hAnsi="Garamond" w:cs="Garamond"/>
          <w:sz w:val="24"/>
          <w:szCs w:val="24"/>
        </w:rPr>
        <w:t>Per i soli candidati ai quali è proposto l’incarico sono inoltre trattati: la documentazione delle esperienze dichiarate e delle competenze valorizzate ai fini della scelta; i dati relativi alla posizione fiscale e previdenziale, ai compensi da lavoro autonomo occasionale percepiti nell’anno e alle coordinate bancarie; i dati necessari alla sottoscrizione e all’esecuzione della lettera di incarico, alla documentazione delle attività e ai pagamenti; i dati relativi a condanne penali e a sanzioni interdittive oggetto della dichiarazione sostitutiva di cui all’art. 8, comma 2, lettera e), dell’avviso.</w:t>
      </w:r>
    </w:p>
    <w:p w14:paraId="1D39645F" w14:textId="77777777" w:rsidR="00417158" w:rsidRDefault="00000000">
      <w:pPr>
        <w:spacing w:after="120" w:line="276" w:lineRule="auto"/>
        <w:jc w:val="both"/>
      </w:pPr>
      <w:r>
        <w:rPr>
          <w:rFonts w:ascii="Garamond" w:hAnsi="Garamond" w:cs="Garamond"/>
          <w:sz w:val="24"/>
          <w:szCs w:val="24"/>
        </w:rPr>
        <w:t>I dati sono raccolti presso l’interessato. Ulteriori dati possono essere acquisiti presso altre amministrazioni in sede di controllo delle dichiarazioni sostitutive, ai sensi dell’art. 71 del D.P.R. 28 dicembre 2000, n. 445.</w:t>
      </w:r>
    </w:p>
    <w:p w14:paraId="3DCC5C31" w14:textId="77777777" w:rsidR="00417158" w:rsidRDefault="00000000">
      <w:pPr>
        <w:keepNext/>
        <w:spacing w:before="120" w:after="120" w:line="276" w:lineRule="auto"/>
        <w:jc w:val="both"/>
      </w:pPr>
      <w:r>
        <w:rPr>
          <w:rFonts w:ascii="Garamond" w:hAnsi="Garamond" w:cs="Garamond"/>
          <w:b/>
          <w:bCs/>
          <w:sz w:val="24"/>
          <w:szCs w:val="24"/>
        </w:rPr>
        <w:t>3. Finalità e basi giuridiche</w:t>
      </w:r>
    </w:p>
    <w:p w14:paraId="63F988CF" w14:textId="77777777" w:rsidR="00417158" w:rsidRDefault="00000000">
      <w:pPr>
        <w:spacing w:after="120" w:line="276" w:lineRule="auto"/>
        <w:jc w:val="both"/>
      </w:pPr>
      <w:r>
        <w:rPr>
          <w:rFonts w:ascii="Garamond" w:hAnsi="Garamond" w:cs="Garamond"/>
          <w:sz w:val="24"/>
          <w:szCs w:val="24"/>
        </w:rPr>
        <w:t>I dati sono trattati per lo svolgimento della procedura di cui all’avviso, per la verifica dei requisiti, per l’abbinamento ai fabbisogni degli ITS Academy della Rete, per il conferimento e la gestione degli incarichi, per gli adempimenti fiscali e contributivi e per il monitoraggio, la rendicontazione e il controllo del progetto finanziato nell’ambito del PNRR.</w:t>
      </w:r>
    </w:p>
    <w:p w14:paraId="77025233" w14:textId="77777777" w:rsidR="00417158" w:rsidRDefault="00000000">
      <w:pPr>
        <w:spacing w:after="120" w:line="276" w:lineRule="auto"/>
        <w:jc w:val="both"/>
      </w:pPr>
      <w:r>
        <w:rPr>
          <w:rFonts w:ascii="Garamond" w:hAnsi="Garamond" w:cs="Garamond"/>
          <w:sz w:val="24"/>
          <w:szCs w:val="24"/>
        </w:rPr>
        <w:t>Le basi giuridiche sono l’esecuzione di misure precontrattuali adottate su richiesta dell’interessato e del contratto di cui l’interessato è parte (art. 6, par. 1, lett. b), GDPR) e l’adempimento degli obblighi di legge cui è soggetta la Fondazione (art. 6, par. 1, lett. c), GDPR), anche in relazione all’art. 22 del Regolamento (UE) 2021/241, al D.L. 31 maggio 2021, n. 77, e al D.Lgs. 14 marzo 2013, n. 33.</w:t>
      </w:r>
    </w:p>
    <w:p w14:paraId="2F186909" w14:textId="77777777" w:rsidR="00417158" w:rsidRDefault="00000000">
      <w:pPr>
        <w:spacing w:after="120" w:line="276" w:lineRule="auto"/>
        <w:jc w:val="both"/>
      </w:pPr>
      <w:r>
        <w:rPr>
          <w:rFonts w:ascii="Garamond" w:hAnsi="Garamond" w:cs="Garamond"/>
          <w:sz w:val="24"/>
          <w:szCs w:val="24"/>
        </w:rPr>
        <w:t>I dati relativi a condanne penali sono trattati limitatamente agli incaricati e al momento del conferimento, nei limiti dell’art. 10 GDPR e dell’art. 2-octies del D.Lgs. 30 giugno 2003, n. 196, ai soli fini della tutela dei minori coinvolti nelle attività.</w:t>
      </w:r>
    </w:p>
    <w:p w14:paraId="56825782" w14:textId="77777777" w:rsidR="00417158" w:rsidRDefault="00000000">
      <w:pPr>
        <w:keepNext/>
        <w:spacing w:before="120" w:after="120" w:line="276" w:lineRule="auto"/>
        <w:jc w:val="both"/>
      </w:pPr>
      <w:r>
        <w:rPr>
          <w:rFonts w:ascii="Garamond" w:hAnsi="Garamond" w:cs="Garamond"/>
          <w:b/>
          <w:bCs/>
          <w:sz w:val="24"/>
          <w:szCs w:val="24"/>
        </w:rPr>
        <w:lastRenderedPageBreak/>
        <w:t>4. Natura del conferimento</w:t>
      </w:r>
    </w:p>
    <w:p w14:paraId="6163FCE0" w14:textId="29BDAAC4" w:rsidR="00417158" w:rsidRDefault="00000000">
      <w:pPr>
        <w:spacing w:after="120" w:line="276" w:lineRule="auto"/>
        <w:jc w:val="both"/>
      </w:pPr>
      <w:r>
        <w:rPr>
          <w:rFonts w:ascii="Garamond" w:hAnsi="Garamond" w:cs="Garamond"/>
          <w:sz w:val="24"/>
          <w:szCs w:val="24"/>
        </w:rPr>
        <w:t xml:space="preserve">Il conferimento dei dati è necessario per partecipare alla procedura e, per gli incaricati, per la sottoscrizione della lettera di incarico; il mancato conferimento comporta l’impossibilità di esaminare la domanda o di conferire l’incarico. </w:t>
      </w:r>
    </w:p>
    <w:p w14:paraId="53E917BB" w14:textId="77777777" w:rsidR="00417158" w:rsidRDefault="00000000">
      <w:pPr>
        <w:keepNext/>
        <w:spacing w:before="120" w:after="120" w:line="276" w:lineRule="auto"/>
        <w:jc w:val="both"/>
      </w:pPr>
      <w:r>
        <w:rPr>
          <w:rFonts w:ascii="Garamond" w:hAnsi="Garamond" w:cs="Garamond"/>
          <w:b/>
          <w:bCs/>
          <w:sz w:val="24"/>
          <w:szCs w:val="24"/>
        </w:rPr>
        <w:t>5. Modalità del trattamento</w:t>
      </w:r>
    </w:p>
    <w:p w14:paraId="30405287" w14:textId="77777777" w:rsidR="00417158" w:rsidRDefault="00000000">
      <w:pPr>
        <w:spacing w:after="120" w:line="276" w:lineRule="auto"/>
        <w:jc w:val="both"/>
      </w:pPr>
      <w:r>
        <w:rPr>
          <w:rFonts w:ascii="Garamond" w:hAnsi="Garamond" w:cs="Garamond"/>
          <w:sz w:val="24"/>
          <w:szCs w:val="24"/>
        </w:rPr>
        <w:t>I dati sono trattati con strumenti cartacei ed elettronici, da personale autorizzato e dai soggetti che supportano la Fondazione nella gestione della procedura e degli adempimenti fiscali e contributivi, designati ove necessario responsabili del trattamento ai sensi dell’art. 28 GDPR, nel rispetto dei principi di liceità, correttezza, minimizzazione e sicurezza. Non sono adottati processi decisionali automatizzati.</w:t>
      </w:r>
    </w:p>
    <w:p w14:paraId="2EAAC69B" w14:textId="77777777" w:rsidR="00417158" w:rsidRDefault="00000000">
      <w:pPr>
        <w:keepNext/>
        <w:spacing w:before="120" w:after="120" w:line="276" w:lineRule="auto"/>
        <w:jc w:val="both"/>
      </w:pPr>
      <w:r>
        <w:rPr>
          <w:rFonts w:ascii="Garamond" w:hAnsi="Garamond" w:cs="Garamond"/>
          <w:b/>
          <w:bCs/>
          <w:sz w:val="24"/>
          <w:szCs w:val="24"/>
        </w:rPr>
        <w:t>6. Destinatari e pubblicazione</w:t>
      </w:r>
    </w:p>
    <w:p w14:paraId="6891FFAC" w14:textId="77777777" w:rsidR="00417158" w:rsidRDefault="00000000">
      <w:pPr>
        <w:spacing w:after="120" w:line="276" w:lineRule="auto"/>
        <w:jc w:val="both"/>
      </w:pPr>
      <w:r>
        <w:rPr>
          <w:rFonts w:ascii="Garamond" w:hAnsi="Garamond" w:cs="Garamond"/>
          <w:sz w:val="24"/>
          <w:szCs w:val="24"/>
        </w:rPr>
        <w:t>I dati possono essere comunicati agli ITS Academy della Rete, ai fini dell’abbinamento ai fabbisogni e della gestione delle attività; al Ministero dell’istruzione e del merito – Unità di missione per il PNRR; agli altri organismi nazionali ed europei competenti per il monitoraggio, la rendicontazione e i controlli (tra cui il Ministero dell’economia e delle finanze, la Commissione europea, l’OLAF, la Corte dei conti europea e la Procura europea); all’amministrazione di appartenenza, per gli incaricati dipendenti pubblici, ai sensi dell’art. 53, comma 11, del D.Lgs. 30 marzo 2001, n. 165; all’Agenzia delle entrate e all’INPS per gli adempimenti di legge; all’istituto bancario per i pagamenti.</w:t>
      </w:r>
    </w:p>
    <w:p w14:paraId="440A61BF" w14:textId="77777777" w:rsidR="00417158" w:rsidRDefault="00000000">
      <w:pPr>
        <w:spacing w:after="120" w:line="276" w:lineRule="auto"/>
        <w:jc w:val="both"/>
      </w:pPr>
      <w:r>
        <w:rPr>
          <w:rFonts w:ascii="Garamond" w:hAnsi="Garamond" w:cs="Garamond"/>
          <w:sz w:val="24"/>
          <w:szCs w:val="24"/>
        </w:rPr>
        <w:t>Le liste degli idonei non sono pubblicate. I dati relativi agli incarichi conferiti sono pubblicati sul sito istituzionale della Fondazione, nella sezione «Amministrazione trasparente», ai sensi dell’art. 15 del D.Lgs. 14 marzo 2013, n. 33, nei limiti di cui all’art. 2-bis, comma 3, del medesimo decreto e per la durata ivi prevista.</w:t>
      </w:r>
    </w:p>
    <w:p w14:paraId="5D54A451" w14:textId="382F1EE8" w:rsidR="00417158" w:rsidRDefault="00000000">
      <w:pPr>
        <w:spacing w:after="120" w:line="276" w:lineRule="auto"/>
        <w:jc w:val="both"/>
      </w:pPr>
      <w:r>
        <w:rPr>
          <w:rFonts w:ascii="Garamond" w:hAnsi="Garamond" w:cs="Garamond"/>
          <w:sz w:val="24"/>
          <w:szCs w:val="24"/>
        </w:rPr>
        <w:t>I dati non sono trasferiti verso Paesi terzi o organizzazioni internazionali</w:t>
      </w:r>
      <w:r w:rsidR="007F4935">
        <w:rPr>
          <w:rFonts w:ascii="Garamond" w:hAnsi="Garamond" w:cs="Garamond"/>
          <w:sz w:val="24"/>
          <w:szCs w:val="24"/>
        </w:rPr>
        <w:t>.</w:t>
      </w:r>
    </w:p>
    <w:p w14:paraId="13309FA7" w14:textId="77777777" w:rsidR="00417158" w:rsidRDefault="00000000">
      <w:pPr>
        <w:keepNext/>
        <w:spacing w:before="120" w:after="120" w:line="276" w:lineRule="auto"/>
        <w:jc w:val="both"/>
      </w:pPr>
      <w:r>
        <w:rPr>
          <w:rFonts w:ascii="Garamond" w:hAnsi="Garamond" w:cs="Garamond"/>
          <w:b/>
          <w:bCs/>
          <w:sz w:val="24"/>
          <w:szCs w:val="24"/>
        </w:rPr>
        <w:t>7. Conservazione</w:t>
      </w:r>
    </w:p>
    <w:p w14:paraId="4B69968B" w14:textId="77777777" w:rsidR="00417158" w:rsidRDefault="00000000">
      <w:pPr>
        <w:spacing w:after="120" w:line="276" w:lineRule="auto"/>
        <w:jc w:val="both"/>
      </w:pPr>
      <w:r>
        <w:rPr>
          <w:rFonts w:ascii="Garamond" w:hAnsi="Garamond" w:cs="Garamond"/>
          <w:sz w:val="24"/>
          <w:szCs w:val="24"/>
        </w:rPr>
        <w:t>I dati sono conservati per la durata della procedura e del progetto e, successivamente, per i termini previsti dalla disciplina del PNRR in materia di conservazione della documentazione (art. 9, comma 4, del D.L. 31 maggio 2021, n. 77) e dalla normativa civilistica e fiscale. I dati relativi a condanne penali sono conservati per il tempo strettamente necessario alle finalità di cui al punto 3.</w:t>
      </w:r>
    </w:p>
    <w:p w14:paraId="2CC13A46" w14:textId="77777777" w:rsidR="00417158" w:rsidRDefault="00000000">
      <w:pPr>
        <w:keepNext/>
        <w:spacing w:before="120" w:after="120" w:line="276" w:lineRule="auto"/>
        <w:jc w:val="both"/>
      </w:pPr>
      <w:r>
        <w:rPr>
          <w:rFonts w:ascii="Garamond" w:hAnsi="Garamond" w:cs="Garamond"/>
          <w:b/>
          <w:bCs/>
          <w:sz w:val="24"/>
          <w:szCs w:val="24"/>
        </w:rPr>
        <w:t>8. Diritti dell’interessato</w:t>
      </w:r>
    </w:p>
    <w:p w14:paraId="0BE558DD" w14:textId="77777777" w:rsidR="00417158" w:rsidRDefault="00000000">
      <w:pPr>
        <w:spacing w:after="120" w:line="276" w:lineRule="auto"/>
        <w:jc w:val="both"/>
      </w:pPr>
      <w:r>
        <w:rPr>
          <w:rFonts w:ascii="Garamond" w:hAnsi="Garamond" w:cs="Garamond"/>
          <w:sz w:val="24"/>
          <w:szCs w:val="24"/>
        </w:rPr>
        <w:t>L’interessato può esercitare i diritti di cui agli artt. da 15 a 22 GDPR (accesso, rettifica, cancellazione, limitazione, portabilità, opposizione), nei limiti previsti dalla legge, scrivendo al titolare all’indirizzo PEC sopra indicato, e ha diritto di proporre reclamo al Garante per la protezione dei dati personali (www.garanteprivacy.it).</w:t>
      </w:r>
    </w:p>
    <w:p w14:paraId="611822C6" w14:textId="77777777" w:rsidR="007F4935" w:rsidRDefault="00000000" w:rsidP="007F4935">
      <w:pPr>
        <w:keepNext/>
        <w:spacing w:before="120" w:after="120" w:line="276" w:lineRule="auto"/>
        <w:jc w:val="both"/>
      </w:pPr>
      <w:r>
        <w:rPr>
          <w:rFonts w:ascii="Garamond" w:hAnsi="Garamond" w:cs="Garamond"/>
          <w:b/>
          <w:bCs/>
          <w:sz w:val="24"/>
          <w:szCs w:val="24"/>
        </w:rPr>
        <w:t>9. Dati dei partecipanti alle attività</w:t>
      </w:r>
    </w:p>
    <w:p w14:paraId="37331A09" w14:textId="77777777" w:rsidR="007F4935" w:rsidRDefault="007F4935" w:rsidP="007F4935">
      <w:pPr>
        <w:keepNext/>
        <w:spacing w:before="120" w:after="120" w:line="276" w:lineRule="auto"/>
        <w:jc w:val="both"/>
        <w:rPr>
          <w:rFonts w:ascii="Garamond" w:hAnsi="Garamond" w:cs="Garamond"/>
          <w:sz w:val="24"/>
          <w:szCs w:val="24"/>
        </w:rPr>
      </w:pPr>
      <w:r w:rsidRPr="007F4935">
        <w:rPr>
          <w:rFonts w:ascii="Garamond" w:hAnsi="Garamond" w:cs="Garamond"/>
          <w:sz w:val="24"/>
          <w:szCs w:val="24"/>
        </w:rPr>
        <w:t xml:space="preserve">Gli incaricati che, nello svolgimento dell'incarico, trattano dati dei partecipanti alle attività di orientamento, inclusi i minori, li trattano per conto della Fondazione, titolare del trattamento, nel rispetto dell'atto di designazione o di nomina consegnato al momento della sottoscrizione della lettera di incarico e delle istruzioni documentate in materia di protezione dei dati personali in esso contenute. Tali istruzioni </w:t>
      </w:r>
      <w:r w:rsidRPr="007F4935">
        <w:rPr>
          <w:rFonts w:ascii="Garamond" w:hAnsi="Garamond" w:cs="Garamond"/>
          <w:sz w:val="24"/>
          <w:szCs w:val="24"/>
        </w:rPr>
        <w:lastRenderedPageBreak/>
        <w:t>riguardano esclusivamente le modalità di trattamento dei dati personali e non incidono sull'autonomia organizzativa dell'incaricato nello svolgimento della prestazione</w:t>
      </w:r>
    </w:p>
    <w:p w14:paraId="797C95B0" w14:textId="3E7AAE66" w:rsidR="00417158" w:rsidRDefault="00000000" w:rsidP="007F4935">
      <w:pPr>
        <w:keepNext/>
        <w:spacing w:before="120" w:after="120" w:line="276" w:lineRule="auto"/>
        <w:jc w:val="both"/>
      </w:pPr>
      <w:r>
        <w:rPr>
          <w:rFonts w:ascii="Garamond" w:hAnsi="Garamond" w:cs="Garamond"/>
          <w:sz w:val="24"/>
          <w:szCs w:val="24"/>
        </w:rPr>
        <w:t xml:space="preserve">Ercolano, </w:t>
      </w:r>
    </w:p>
    <w:p w14:paraId="3B8784F6" w14:textId="77777777" w:rsidR="00417158" w:rsidRDefault="00000000">
      <w:pPr>
        <w:spacing w:line="276" w:lineRule="auto"/>
        <w:jc w:val="right"/>
      </w:pPr>
      <w:r>
        <w:rPr>
          <w:rFonts w:ascii="Garamond" w:hAnsi="Garamond" w:cs="Garamond"/>
          <w:sz w:val="24"/>
          <w:szCs w:val="24"/>
        </w:rPr>
        <w:t>Il Titolare del trattamento</w:t>
      </w:r>
    </w:p>
    <w:p w14:paraId="5904AD4E" w14:textId="77777777" w:rsidR="00417158" w:rsidRDefault="00000000">
      <w:pPr>
        <w:spacing w:line="276" w:lineRule="auto"/>
        <w:jc w:val="right"/>
      </w:pPr>
      <w:r>
        <w:rPr>
          <w:rFonts w:ascii="Garamond" w:hAnsi="Garamond" w:cs="Garamond"/>
          <w:b/>
          <w:bCs/>
          <w:sz w:val="24"/>
          <w:szCs w:val="24"/>
        </w:rPr>
        <w:t>Fondazione ITS Academy Manifattura Meccanica MA.ME.</w:t>
      </w:r>
    </w:p>
    <w:p w14:paraId="23795E4F" w14:textId="77777777" w:rsidR="00417158" w:rsidRDefault="00000000">
      <w:pPr>
        <w:spacing w:line="276" w:lineRule="auto"/>
        <w:jc w:val="right"/>
      </w:pPr>
      <w:r>
        <w:rPr>
          <w:rFonts w:ascii="Garamond" w:hAnsi="Garamond" w:cs="Garamond"/>
          <w:sz w:val="24"/>
          <w:szCs w:val="24"/>
        </w:rPr>
        <w:t>Il Presidente e legale rappresentante – Dott. Luca Scudieri</w:t>
      </w:r>
    </w:p>
    <w:sectPr w:rsidR="00417158">
      <w:headerReference w:type="default" r:id="rId7"/>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74353" w14:textId="77777777" w:rsidR="008D6950" w:rsidRDefault="008D6950" w:rsidP="00023499">
      <w:r>
        <w:separator/>
      </w:r>
    </w:p>
  </w:endnote>
  <w:endnote w:type="continuationSeparator" w:id="0">
    <w:p w14:paraId="3A4BF454" w14:textId="77777777" w:rsidR="008D6950" w:rsidRDefault="008D6950" w:rsidP="00023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AFFFA" w14:textId="77777777" w:rsidR="00FC2ED7" w:rsidRPr="00FC2ED7" w:rsidRDefault="00FC2ED7" w:rsidP="00FC2ED7">
    <w:pPr>
      <w:pStyle w:val="Pidipagina"/>
      <w:jc w:val="center"/>
      <w:rPr>
        <w:rFonts w:ascii="Garamond" w:hAnsi="Garamond"/>
      </w:rPr>
    </w:pPr>
    <w:r w:rsidRPr="00FC2ED7">
      <w:rPr>
        <w:rFonts w:ascii="Garamond" w:hAnsi="Garamond"/>
      </w:rPr>
      <w:t>Villa Campolieto, Corso Resina, 283 | 80056 Ercolano NA tel. +39 081 7882215 251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0D699" w14:textId="77777777" w:rsidR="008D6950" w:rsidRDefault="008D6950" w:rsidP="00023499">
      <w:r>
        <w:separator/>
      </w:r>
    </w:p>
  </w:footnote>
  <w:footnote w:type="continuationSeparator" w:id="0">
    <w:p w14:paraId="714DF6CD" w14:textId="77777777" w:rsidR="008D6950" w:rsidRDefault="008D6950" w:rsidP="000234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18550" w14:textId="77777777" w:rsidR="00466456" w:rsidRDefault="00466456">
    <w:pPr>
      <w:pStyle w:val="Intestazione"/>
    </w:pPr>
    <w:r>
      <w:rPr>
        <w:noProof/>
      </w:rPr>
      <w:drawing>
        <wp:inline distT="0" distB="0" distL="0" distR="0" wp14:anchorId="48767DF3" wp14:editId="206D2863">
          <wp:extent cx="5143500" cy="216315"/>
          <wp:effectExtent l="0" t="0" r="0" b="0"/>
          <wp:docPr id="185392360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58854" cy="221166"/>
                  </a:xfrm>
                  <a:prstGeom prst="rect">
                    <a:avLst/>
                  </a:prstGeom>
                  <a:noFill/>
                  <a:ln>
                    <a:noFill/>
                  </a:ln>
                </pic:spPr>
              </pic:pic>
            </a:graphicData>
          </a:graphic>
        </wp:inline>
      </w:drawing>
    </w:r>
    <w:r w:rsidR="00E26139">
      <w:rPr>
        <w:noProof/>
      </w:rPr>
      <w:t xml:space="preserve"> </w:t>
    </w:r>
    <w:r w:rsidR="00E26139">
      <w:rPr>
        <w:noProof/>
      </w:rPr>
      <w:drawing>
        <wp:inline distT="0" distB="0" distL="0" distR="0" wp14:anchorId="633DB165" wp14:editId="7A8CA2AB">
          <wp:extent cx="830580" cy="622894"/>
          <wp:effectExtent l="0" t="0" r="7620" b="6350"/>
          <wp:docPr id="10512662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266252" name="Immagine 1051266252"/>
                  <pic:cNvPicPr/>
                </pic:nvPicPr>
                <pic:blipFill>
                  <a:blip r:embed="rId2">
                    <a:extLst>
                      <a:ext uri="{28A0092B-C50C-407E-A947-70E740481C1C}">
                        <a14:useLocalDpi xmlns:a14="http://schemas.microsoft.com/office/drawing/2010/main" val="0"/>
                      </a:ext>
                    </a:extLst>
                  </a:blip>
                  <a:stretch>
                    <a:fillRect/>
                  </a:stretch>
                </pic:blipFill>
                <pic:spPr>
                  <a:xfrm>
                    <a:off x="0" y="0"/>
                    <a:ext cx="844545" cy="633367"/>
                  </a:xfrm>
                  <a:prstGeom prst="rect">
                    <a:avLst/>
                  </a:prstGeom>
                </pic:spPr>
              </pic:pic>
            </a:graphicData>
          </a:graphic>
        </wp:inline>
      </w:drawing>
    </w:r>
  </w:p>
  <w:p w14:paraId="5F0429B3" w14:textId="77777777" w:rsidR="00466456" w:rsidRDefault="00466456">
    <w:pPr>
      <w:pStyle w:val="Intestazione"/>
    </w:pPr>
  </w:p>
  <w:p w14:paraId="3DC0977D" w14:textId="77777777" w:rsidR="00023499" w:rsidRPr="00F66E3D" w:rsidRDefault="00FC2ED7" w:rsidP="00F66E3D">
    <w:pPr>
      <w:jc w:val="center"/>
      <w:rPr>
        <w:rFonts w:ascii="Garamond" w:hAnsi="Garamond"/>
        <w:b/>
        <w:bCs/>
      </w:rPr>
    </w:pPr>
    <w:bookmarkStart w:id="0" w:name="_Hlk218084826"/>
    <w:bookmarkStart w:id="1" w:name="_Hlk218084827"/>
    <w:bookmarkStart w:id="2" w:name="_Hlk218084948"/>
    <w:bookmarkStart w:id="3" w:name="_Hlk218084949"/>
    <w:bookmarkStart w:id="4" w:name="_Hlk218084987"/>
    <w:bookmarkStart w:id="5" w:name="_Hlk218084988"/>
    <w:bookmarkStart w:id="6" w:name="_Hlk218085123"/>
    <w:bookmarkStart w:id="7" w:name="_Hlk218085124"/>
    <w:bookmarkStart w:id="8" w:name="_Hlk218085203"/>
    <w:bookmarkStart w:id="9" w:name="_Hlk218085204"/>
    <w:bookmarkStart w:id="10" w:name="_Hlk218085272"/>
    <w:bookmarkStart w:id="11" w:name="_Hlk218085273"/>
    <w:bookmarkStart w:id="12" w:name="_Hlk218085278"/>
    <w:bookmarkStart w:id="13" w:name="_Hlk218085279"/>
    <w:bookmarkStart w:id="14" w:name="_Hlk218085342"/>
    <w:bookmarkStart w:id="15" w:name="_Hlk218085343"/>
    <w:bookmarkStart w:id="16" w:name="_Hlk218085789"/>
    <w:bookmarkStart w:id="17" w:name="_Hlk218085790"/>
    <w:r w:rsidRPr="00FC2ED7">
      <w:rPr>
        <w:rFonts w:ascii="Garamond" w:hAnsi="Garamond"/>
        <w:b/>
        <w:bCs/>
      </w:rPr>
      <w:t>Istituto Tecnologico Superiore per le Nuove Tecnologie per il Made In Italy –</w:t>
    </w:r>
    <w:r w:rsidR="00F66E3D">
      <w:rPr>
        <w:rFonts w:ascii="Garamond" w:hAnsi="Garamond"/>
        <w:b/>
        <w:bCs/>
      </w:rPr>
      <w:t xml:space="preserve"> </w:t>
    </w:r>
    <w:r w:rsidRPr="00FC2ED7">
      <w:rPr>
        <w:rFonts w:ascii="Garamond" w:hAnsi="Garamond"/>
        <w:b/>
        <w:bCs/>
      </w:rPr>
      <w:t>Meccatronica</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FEFCBCAA"/>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AD24E39"/>
    <w:multiLevelType w:val="hybridMultilevel"/>
    <w:tmpl w:val="717C3DC8"/>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1C1CC2"/>
    <w:multiLevelType w:val="hybridMultilevel"/>
    <w:tmpl w:val="F9746E12"/>
    <w:lvl w:ilvl="0" w:tplc="745C8B30">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F9E4734"/>
    <w:multiLevelType w:val="hybridMultilevel"/>
    <w:tmpl w:val="9B5EFEF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2C12A74"/>
    <w:multiLevelType w:val="hybridMultilevel"/>
    <w:tmpl w:val="9F68FA60"/>
    <w:lvl w:ilvl="0" w:tplc="745C8B30">
      <w:numFmt w:val="bullet"/>
      <w:lvlText w:val="-"/>
      <w:lvlJc w:val="left"/>
      <w:pPr>
        <w:ind w:left="720" w:hanging="360"/>
      </w:pPr>
      <w:rPr>
        <w:rFonts w:ascii="Times New Roman" w:eastAsia="Times New Roman" w:hAnsi="Times New Roman" w:cs="Times New Roman" w:hint="default"/>
      </w:rPr>
    </w:lvl>
    <w:lvl w:ilvl="1" w:tplc="0410000F">
      <w:start w:val="1"/>
      <w:numFmt w:val="decimal"/>
      <w:lvlText w:val="%2."/>
      <w:lvlJc w:val="left"/>
      <w:pPr>
        <w:ind w:left="1440" w:hanging="360"/>
      </w:pPr>
      <w:rPr>
        <w:rFont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8594A20"/>
    <w:multiLevelType w:val="hybridMultilevel"/>
    <w:tmpl w:val="FCB8CA4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B6C43B6"/>
    <w:multiLevelType w:val="hybridMultilevel"/>
    <w:tmpl w:val="32C63B54"/>
    <w:lvl w:ilvl="0" w:tplc="90020F56">
      <w:start w:val="1"/>
      <w:numFmt w:val="decimal"/>
      <w:lvlText w:val="%1."/>
      <w:lvlJc w:val="left"/>
      <w:pPr>
        <w:ind w:left="720" w:hanging="360"/>
      </w:pPr>
      <w:rPr>
        <w:b/>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3BD3863"/>
    <w:multiLevelType w:val="hybridMultilevel"/>
    <w:tmpl w:val="E6C495DC"/>
    <w:lvl w:ilvl="0" w:tplc="745C8B3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BA218DF"/>
    <w:multiLevelType w:val="multilevel"/>
    <w:tmpl w:val="1B529A22"/>
    <w:lvl w:ilvl="0">
      <w:start w:val="1"/>
      <w:numFmt w:val="upperLetter"/>
      <w:lvlText w:val="%1."/>
      <w:lvlJc w:val="left"/>
      <w:pPr>
        <w:ind w:left="454" w:hanging="454"/>
      </w:pPr>
      <w:rPr>
        <w:rFonts w:hint="default"/>
        <w:b/>
        <w:i w:val="0"/>
        <w:sz w:val="20"/>
        <w:szCs w:val="20"/>
      </w:rPr>
    </w:lvl>
    <w:lvl w:ilvl="1">
      <w:start w:val="1"/>
      <w:numFmt w:val="lowerLetter"/>
      <w:lvlText w:val="%2)"/>
      <w:lvlJc w:val="left"/>
      <w:pPr>
        <w:ind w:left="568" w:firstLine="0"/>
      </w:pPr>
      <w:rPr>
        <w:rFonts w:hint="default"/>
        <w:b w:val="0"/>
        <w:i w: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5B639B1"/>
    <w:multiLevelType w:val="hybridMultilevel"/>
    <w:tmpl w:val="057E2F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2972009"/>
    <w:multiLevelType w:val="hybridMultilevel"/>
    <w:tmpl w:val="3F8A0748"/>
    <w:lvl w:ilvl="0" w:tplc="97225A40">
      <w:start w:val="1"/>
      <w:numFmt w:val="lowerLetter"/>
      <w:lvlText w:val="%1)"/>
      <w:lvlJc w:val="left"/>
      <w:pPr>
        <w:ind w:left="2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F78FB7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572A4A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184E2F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0E4784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A7A3E5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6D43B1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472742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99824C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560838F1"/>
    <w:multiLevelType w:val="hybridMultilevel"/>
    <w:tmpl w:val="52F051F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716B5685"/>
    <w:multiLevelType w:val="hybridMultilevel"/>
    <w:tmpl w:val="FDB6E4B0"/>
    <w:lvl w:ilvl="0" w:tplc="04100001">
      <w:start w:val="1"/>
      <w:numFmt w:val="bullet"/>
      <w:lvlText w:val=""/>
      <w:lvlJc w:val="left"/>
      <w:pPr>
        <w:ind w:left="1425" w:hanging="360"/>
      </w:pPr>
      <w:rPr>
        <w:rFonts w:ascii="Symbol" w:hAnsi="Symbol" w:hint="default"/>
      </w:rPr>
    </w:lvl>
    <w:lvl w:ilvl="1" w:tplc="04100003" w:tentative="1">
      <w:start w:val="1"/>
      <w:numFmt w:val="bullet"/>
      <w:lvlText w:val="o"/>
      <w:lvlJc w:val="left"/>
      <w:pPr>
        <w:ind w:left="2145" w:hanging="360"/>
      </w:pPr>
      <w:rPr>
        <w:rFonts w:ascii="Courier New" w:hAnsi="Courier New" w:cs="Courier New" w:hint="default"/>
      </w:rPr>
    </w:lvl>
    <w:lvl w:ilvl="2" w:tplc="04100005" w:tentative="1">
      <w:start w:val="1"/>
      <w:numFmt w:val="bullet"/>
      <w:lvlText w:val=""/>
      <w:lvlJc w:val="left"/>
      <w:pPr>
        <w:ind w:left="2865" w:hanging="360"/>
      </w:pPr>
      <w:rPr>
        <w:rFonts w:ascii="Wingdings" w:hAnsi="Wingdings" w:hint="default"/>
      </w:rPr>
    </w:lvl>
    <w:lvl w:ilvl="3" w:tplc="04100001" w:tentative="1">
      <w:start w:val="1"/>
      <w:numFmt w:val="bullet"/>
      <w:lvlText w:val=""/>
      <w:lvlJc w:val="left"/>
      <w:pPr>
        <w:ind w:left="3585" w:hanging="360"/>
      </w:pPr>
      <w:rPr>
        <w:rFonts w:ascii="Symbol" w:hAnsi="Symbol" w:hint="default"/>
      </w:rPr>
    </w:lvl>
    <w:lvl w:ilvl="4" w:tplc="04100003" w:tentative="1">
      <w:start w:val="1"/>
      <w:numFmt w:val="bullet"/>
      <w:lvlText w:val="o"/>
      <w:lvlJc w:val="left"/>
      <w:pPr>
        <w:ind w:left="4305" w:hanging="360"/>
      </w:pPr>
      <w:rPr>
        <w:rFonts w:ascii="Courier New" w:hAnsi="Courier New" w:cs="Courier New" w:hint="default"/>
      </w:rPr>
    </w:lvl>
    <w:lvl w:ilvl="5" w:tplc="04100005" w:tentative="1">
      <w:start w:val="1"/>
      <w:numFmt w:val="bullet"/>
      <w:lvlText w:val=""/>
      <w:lvlJc w:val="left"/>
      <w:pPr>
        <w:ind w:left="5025" w:hanging="360"/>
      </w:pPr>
      <w:rPr>
        <w:rFonts w:ascii="Wingdings" w:hAnsi="Wingdings" w:hint="default"/>
      </w:rPr>
    </w:lvl>
    <w:lvl w:ilvl="6" w:tplc="04100001" w:tentative="1">
      <w:start w:val="1"/>
      <w:numFmt w:val="bullet"/>
      <w:lvlText w:val=""/>
      <w:lvlJc w:val="left"/>
      <w:pPr>
        <w:ind w:left="5745" w:hanging="360"/>
      </w:pPr>
      <w:rPr>
        <w:rFonts w:ascii="Symbol" w:hAnsi="Symbol" w:hint="default"/>
      </w:rPr>
    </w:lvl>
    <w:lvl w:ilvl="7" w:tplc="04100003" w:tentative="1">
      <w:start w:val="1"/>
      <w:numFmt w:val="bullet"/>
      <w:lvlText w:val="o"/>
      <w:lvlJc w:val="left"/>
      <w:pPr>
        <w:ind w:left="6465" w:hanging="360"/>
      </w:pPr>
      <w:rPr>
        <w:rFonts w:ascii="Courier New" w:hAnsi="Courier New" w:cs="Courier New" w:hint="default"/>
      </w:rPr>
    </w:lvl>
    <w:lvl w:ilvl="8" w:tplc="04100005" w:tentative="1">
      <w:start w:val="1"/>
      <w:numFmt w:val="bullet"/>
      <w:lvlText w:val=""/>
      <w:lvlJc w:val="left"/>
      <w:pPr>
        <w:ind w:left="7185" w:hanging="360"/>
      </w:pPr>
      <w:rPr>
        <w:rFonts w:ascii="Wingdings" w:hAnsi="Wingdings" w:hint="default"/>
      </w:rPr>
    </w:lvl>
  </w:abstractNum>
  <w:num w:numId="1" w16cid:durableId="1034307472">
    <w:abstractNumId w:val="5"/>
  </w:num>
  <w:num w:numId="2" w16cid:durableId="1970741258">
    <w:abstractNumId w:val="8"/>
  </w:num>
  <w:num w:numId="3" w16cid:durableId="595554808">
    <w:abstractNumId w:val="9"/>
  </w:num>
  <w:num w:numId="4" w16cid:durableId="1178540033">
    <w:abstractNumId w:val="3"/>
  </w:num>
  <w:num w:numId="5" w16cid:durableId="1531533617">
    <w:abstractNumId w:val="1"/>
  </w:num>
  <w:num w:numId="6" w16cid:durableId="1606158957">
    <w:abstractNumId w:val="7"/>
  </w:num>
  <w:num w:numId="7" w16cid:durableId="1021514229">
    <w:abstractNumId w:val="6"/>
  </w:num>
  <w:num w:numId="8" w16cid:durableId="168952788">
    <w:abstractNumId w:val="12"/>
  </w:num>
  <w:num w:numId="9" w16cid:durableId="696929135">
    <w:abstractNumId w:val="2"/>
  </w:num>
  <w:num w:numId="10" w16cid:durableId="1613051836">
    <w:abstractNumId w:val="11"/>
  </w:num>
  <w:num w:numId="11" w16cid:durableId="1663846573">
    <w:abstractNumId w:val="10"/>
  </w:num>
  <w:num w:numId="12" w16cid:durableId="89550752">
    <w:abstractNumId w:val="4"/>
  </w:num>
  <w:num w:numId="13" w16cid:durableId="10767794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499"/>
    <w:rsid w:val="000040A9"/>
    <w:rsid w:val="0001220D"/>
    <w:rsid w:val="00023499"/>
    <w:rsid w:val="000A1BE3"/>
    <w:rsid w:val="000D44EE"/>
    <w:rsid w:val="000F2B17"/>
    <w:rsid w:val="001320FA"/>
    <w:rsid w:val="001B2366"/>
    <w:rsid w:val="001B67E3"/>
    <w:rsid w:val="001E28DF"/>
    <w:rsid w:val="00243E81"/>
    <w:rsid w:val="00252CC9"/>
    <w:rsid w:val="00277FFC"/>
    <w:rsid w:val="002A0779"/>
    <w:rsid w:val="002B264E"/>
    <w:rsid w:val="002D7B6F"/>
    <w:rsid w:val="002E720D"/>
    <w:rsid w:val="002F419D"/>
    <w:rsid w:val="003059FB"/>
    <w:rsid w:val="003151AC"/>
    <w:rsid w:val="0033222D"/>
    <w:rsid w:val="003375C2"/>
    <w:rsid w:val="003B496C"/>
    <w:rsid w:val="00403B46"/>
    <w:rsid w:val="00417158"/>
    <w:rsid w:val="00433CEA"/>
    <w:rsid w:val="00466456"/>
    <w:rsid w:val="00480115"/>
    <w:rsid w:val="00483E02"/>
    <w:rsid w:val="00493345"/>
    <w:rsid w:val="004B4B27"/>
    <w:rsid w:val="004E04D2"/>
    <w:rsid w:val="004E3E5E"/>
    <w:rsid w:val="00526793"/>
    <w:rsid w:val="00576A8C"/>
    <w:rsid w:val="00586A0E"/>
    <w:rsid w:val="005E02C6"/>
    <w:rsid w:val="00652C26"/>
    <w:rsid w:val="00656C4D"/>
    <w:rsid w:val="006760C8"/>
    <w:rsid w:val="0067709F"/>
    <w:rsid w:val="00686F4D"/>
    <w:rsid w:val="006C1A58"/>
    <w:rsid w:val="006E0546"/>
    <w:rsid w:val="006E7F9D"/>
    <w:rsid w:val="00723622"/>
    <w:rsid w:val="00724F22"/>
    <w:rsid w:val="00740F6B"/>
    <w:rsid w:val="007F4935"/>
    <w:rsid w:val="00806410"/>
    <w:rsid w:val="008232BF"/>
    <w:rsid w:val="00840E2A"/>
    <w:rsid w:val="008438C5"/>
    <w:rsid w:val="00845ABB"/>
    <w:rsid w:val="00864B25"/>
    <w:rsid w:val="008A4CAF"/>
    <w:rsid w:val="008D6950"/>
    <w:rsid w:val="008E4B7E"/>
    <w:rsid w:val="008E6C6D"/>
    <w:rsid w:val="0092407F"/>
    <w:rsid w:val="00951C0F"/>
    <w:rsid w:val="00971FEF"/>
    <w:rsid w:val="009948A3"/>
    <w:rsid w:val="009C0A7C"/>
    <w:rsid w:val="009E3DA1"/>
    <w:rsid w:val="009F4E24"/>
    <w:rsid w:val="00A163D7"/>
    <w:rsid w:val="00A2478F"/>
    <w:rsid w:val="00A51D67"/>
    <w:rsid w:val="00A805F3"/>
    <w:rsid w:val="00A80C9B"/>
    <w:rsid w:val="00A87D50"/>
    <w:rsid w:val="00AA3AEE"/>
    <w:rsid w:val="00B00C7C"/>
    <w:rsid w:val="00B055DE"/>
    <w:rsid w:val="00B50406"/>
    <w:rsid w:val="00B72212"/>
    <w:rsid w:val="00BE6A20"/>
    <w:rsid w:val="00C024C9"/>
    <w:rsid w:val="00C14162"/>
    <w:rsid w:val="00C446B5"/>
    <w:rsid w:val="00CB4A05"/>
    <w:rsid w:val="00D07A47"/>
    <w:rsid w:val="00D220CC"/>
    <w:rsid w:val="00D75DD4"/>
    <w:rsid w:val="00DA31F7"/>
    <w:rsid w:val="00DA748C"/>
    <w:rsid w:val="00DC46AB"/>
    <w:rsid w:val="00DF7E23"/>
    <w:rsid w:val="00E12575"/>
    <w:rsid w:val="00E22C9F"/>
    <w:rsid w:val="00E26139"/>
    <w:rsid w:val="00E55C09"/>
    <w:rsid w:val="00E97BA0"/>
    <w:rsid w:val="00EB2FF1"/>
    <w:rsid w:val="00ED243A"/>
    <w:rsid w:val="00EE63AB"/>
    <w:rsid w:val="00EF4079"/>
    <w:rsid w:val="00F27614"/>
    <w:rsid w:val="00F427E4"/>
    <w:rsid w:val="00F4339B"/>
    <w:rsid w:val="00F57EFC"/>
    <w:rsid w:val="00F63194"/>
    <w:rsid w:val="00F66E3D"/>
    <w:rsid w:val="00FC2ED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CCCF07"/>
  <w15:chartTrackingRefBased/>
  <w15:docId w15:val="{6583ED74-7C4C-4EF7-B201-E764FFD43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theme="minorBidi"/>
        <w:kern w:val="2"/>
        <w:sz w:val="24"/>
        <w:szCs w:val="24"/>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06410"/>
    <w:pPr>
      <w:spacing w:after="0" w:line="240" w:lineRule="auto"/>
    </w:pPr>
    <w:rPr>
      <w:rFonts w:asciiTheme="minorHAnsi" w:eastAsia="Calibri" w:hAnsiTheme="minorHAnsi" w:cs="Times New Roman"/>
      <w:kern w:val="0"/>
      <w:sz w:val="20"/>
      <w:szCs w:val="16"/>
      <w:lang w:eastAsia="it-IT"/>
      <w14:ligatures w14:val="none"/>
    </w:rPr>
  </w:style>
  <w:style w:type="paragraph" w:styleId="Titolo1">
    <w:name w:val="heading 1"/>
    <w:basedOn w:val="Normale"/>
    <w:next w:val="Normale"/>
    <w:link w:val="Titolo1Carattere"/>
    <w:uiPriority w:val="9"/>
    <w:qFormat/>
    <w:rsid w:val="002E720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semiHidden/>
    <w:unhideWhenUsed/>
    <w:qFormat/>
    <w:rsid w:val="002E720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olo4">
    <w:name w:val="heading 4"/>
    <w:basedOn w:val="Normale"/>
    <w:next w:val="Normale"/>
    <w:link w:val="Titolo4Carattere"/>
    <w:uiPriority w:val="9"/>
    <w:unhideWhenUsed/>
    <w:qFormat/>
    <w:rsid w:val="00806410"/>
    <w:pPr>
      <w:keepNext/>
      <w:spacing w:before="240" w:after="60"/>
      <w:outlineLvl w:val="3"/>
    </w:pPr>
    <w:rPr>
      <w:rFonts w:ascii="Calibri" w:eastAsia="Times New Roman" w:hAnsi="Calibri"/>
      <w:b/>
      <w:bCs/>
      <w:sz w:val="28"/>
      <w:szCs w:val="2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23499"/>
    <w:pPr>
      <w:tabs>
        <w:tab w:val="center" w:pos="4819"/>
        <w:tab w:val="right" w:pos="9638"/>
      </w:tabs>
    </w:pPr>
  </w:style>
  <w:style w:type="character" w:customStyle="1" w:styleId="IntestazioneCarattere">
    <w:name w:val="Intestazione Carattere"/>
    <w:basedOn w:val="Carpredefinitoparagrafo"/>
    <w:link w:val="Intestazione"/>
    <w:uiPriority w:val="99"/>
    <w:rsid w:val="00023499"/>
  </w:style>
  <w:style w:type="paragraph" w:styleId="Pidipagina">
    <w:name w:val="footer"/>
    <w:basedOn w:val="Normale"/>
    <w:link w:val="PidipaginaCarattere"/>
    <w:uiPriority w:val="99"/>
    <w:unhideWhenUsed/>
    <w:rsid w:val="00023499"/>
    <w:pPr>
      <w:tabs>
        <w:tab w:val="center" w:pos="4819"/>
        <w:tab w:val="right" w:pos="9638"/>
      </w:tabs>
    </w:pPr>
  </w:style>
  <w:style w:type="character" w:customStyle="1" w:styleId="PidipaginaCarattere">
    <w:name w:val="Piè di pagina Carattere"/>
    <w:basedOn w:val="Carpredefinitoparagrafo"/>
    <w:link w:val="Pidipagina"/>
    <w:uiPriority w:val="99"/>
    <w:rsid w:val="00023499"/>
  </w:style>
  <w:style w:type="character" w:styleId="Collegamentoipertestuale">
    <w:name w:val="Hyperlink"/>
    <w:basedOn w:val="Carpredefinitoparagrafo"/>
    <w:uiPriority w:val="99"/>
    <w:unhideWhenUsed/>
    <w:rsid w:val="00A163D7"/>
    <w:rPr>
      <w:color w:val="0000FF"/>
      <w:u w:val="single"/>
    </w:rPr>
  </w:style>
  <w:style w:type="paragraph" w:styleId="Paragrafoelenco">
    <w:name w:val="List Paragraph"/>
    <w:aliases w:val="Paragrafo"/>
    <w:basedOn w:val="Normale"/>
    <w:uiPriority w:val="1"/>
    <w:qFormat/>
    <w:rsid w:val="00A163D7"/>
    <w:pPr>
      <w:ind w:left="720"/>
      <w:contextualSpacing/>
    </w:pPr>
  </w:style>
  <w:style w:type="character" w:styleId="Menzionenonrisolta">
    <w:name w:val="Unresolved Mention"/>
    <w:basedOn w:val="Carpredefinitoparagrafo"/>
    <w:uiPriority w:val="99"/>
    <w:semiHidden/>
    <w:unhideWhenUsed/>
    <w:rsid w:val="001B67E3"/>
    <w:rPr>
      <w:color w:val="605E5C"/>
      <w:shd w:val="clear" w:color="auto" w:fill="E1DFDD"/>
    </w:rPr>
  </w:style>
  <w:style w:type="character" w:customStyle="1" w:styleId="Titolo4Carattere">
    <w:name w:val="Titolo 4 Carattere"/>
    <w:basedOn w:val="Carpredefinitoparagrafo"/>
    <w:link w:val="Titolo4"/>
    <w:uiPriority w:val="9"/>
    <w:rsid w:val="00806410"/>
    <w:rPr>
      <w:rFonts w:ascii="Calibri" w:eastAsia="Times New Roman" w:hAnsi="Calibri" w:cs="Times New Roman"/>
      <w:b/>
      <w:bCs/>
      <w:kern w:val="0"/>
      <w:sz w:val="28"/>
      <w:szCs w:val="28"/>
      <w:lang w:eastAsia="it-IT"/>
      <w14:ligatures w14:val="none"/>
    </w:rPr>
  </w:style>
  <w:style w:type="paragraph" w:customStyle="1" w:styleId="usoboll1">
    <w:name w:val="usoboll1"/>
    <w:basedOn w:val="Normale"/>
    <w:rsid w:val="00806410"/>
    <w:pPr>
      <w:widowControl w:val="0"/>
      <w:spacing w:line="482" w:lineRule="exact"/>
      <w:jc w:val="both"/>
    </w:pPr>
    <w:rPr>
      <w:rFonts w:ascii="Times New Roman" w:eastAsia="Times New Roman" w:hAnsi="Times New Roman"/>
      <w:sz w:val="24"/>
      <w:szCs w:val="20"/>
    </w:rPr>
  </w:style>
  <w:style w:type="paragraph" w:styleId="Corpotesto">
    <w:name w:val="Body Text"/>
    <w:basedOn w:val="Normale"/>
    <w:link w:val="CorpotestoCarattere"/>
    <w:rsid w:val="00806410"/>
    <w:rPr>
      <w:rFonts w:ascii="Times New Roman" w:eastAsia="Times New Roman" w:hAnsi="Times New Roman"/>
      <w:sz w:val="24"/>
      <w:szCs w:val="20"/>
    </w:rPr>
  </w:style>
  <w:style w:type="character" w:customStyle="1" w:styleId="CorpotestoCarattere">
    <w:name w:val="Corpo testo Carattere"/>
    <w:basedOn w:val="Carpredefinitoparagrafo"/>
    <w:link w:val="Corpotesto"/>
    <w:rsid w:val="00806410"/>
    <w:rPr>
      <w:rFonts w:ascii="Times New Roman" w:eastAsia="Times New Roman" w:hAnsi="Times New Roman" w:cs="Times New Roman"/>
      <w:kern w:val="0"/>
      <w:szCs w:val="20"/>
      <w:lang w:eastAsia="it-IT"/>
      <w14:ligatures w14:val="none"/>
    </w:rPr>
  </w:style>
  <w:style w:type="paragraph" w:styleId="Corpodeltesto2">
    <w:name w:val="Body Text 2"/>
    <w:basedOn w:val="Normale"/>
    <w:link w:val="Corpodeltesto2Carattere"/>
    <w:uiPriority w:val="99"/>
    <w:unhideWhenUsed/>
    <w:rsid w:val="00806410"/>
    <w:pPr>
      <w:spacing w:after="120" w:line="480" w:lineRule="auto"/>
    </w:pPr>
  </w:style>
  <w:style w:type="character" w:customStyle="1" w:styleId="Corpodeltesto2Carattere">
    <w:name w:val="Corpo del testo 2 Carattere"/>
    <w:basedOn w:val="Carpredefinitoparagrafo"/>
    <w:link w:val="Corpodeltesto2"/>
    <w:uiPriority w:val="99"/>
    <w:rsid w:val="00806410"/>
    <w:rPr>
      <w:rFonts w:asciiTheme="minorHAnsi" w:eastAsia="Calibri" w:hAnsiTheme="minorHAnsi" w:cs="Times New Roman"/>
      <w:kern w:val="0"/>
      <w:sz w:val="20"/>
      <w:szCs w:val="16"/>
      <w:lang w:eastAsia="it-IT"/>
      <w14:ligatures w14:val="none"/>
    </w:rPr>
  </w:style>
  <w:style w:type="table" w:styleId="Grigliatabella">
    <w:name w:val="Table Grid"/>
    <w:basedOn w:val="Tabellanormale"/>
    <w:uiPriority w:val="99"/>
    <w:rsid w:val="00806410"/>
    <w:pPr>
      <w:spacing w:after="0" w:line="240" w:lineRule="auto"/>
    </w:pPr>
    <w:rPr>
      <w:rFonts w:ascii="Times New Roman" w:eastAsia="Times New Roman" w:hAnsi="Times New Roman" w:cs="Times New Roman"/>
      <w:kern w:val="0"/>
      <w:sz w:val="20"/>
      <w:szCs w:val="16"/>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rsid w:val="00806410"/>
    <w:pPr>
      <w:autoSpaceDE w:val="0"/>
      <w:autoSpaceDN w:val="0"/>
    </w:pPr>
    <w:rPr>
      <w:rFonts w:ascii="Times New Roman" w:eastAsia="Times New Roman" w:hAnsi="Times New Roman"/>
      <w:szCs w:val="20"/>
    </w:rPr>
  </w:style>
  <w:style w:type="character" w:customStyle="1" w:styleId="TestonotaapidipaginaCarattere">
    <w:name w:val="Testo nota a piè di pagina Carattere"/>
    <w:basedOn w:val="Carpredefinitoparagrafo"/>
    <w:link w:val="Testonotaapidipagina"/>
    <w:uiPriority w:val="99"/>
    <w:rsid w:val="00806410"/>
    <w:rPr>
      <w:rFonts w:ascii="Times New Roman" w:eastAsia="Times New Roman" w:hAnsi="Times New Roman" w:cs="Times New Roman"/>
      <w:kern w:val="0"/>
      <w:sz w:val="20"/>
      <w:szCs w:val="20"/>
      <w:lang w:eastAsia="it-IT"/>
      <w14:ligatures w14:val="none"/>
    </w:rPr>
  </w:style>
  <w:style w:type="character" w:styleId="Rimandonotaapidipagina">
    <w:name w:val="footnote reference"/>
    <w:uiPriority w:val="99"/>
    <w:rsid w:val="00806410"/>
    <w:rPr>
      <w:vertAlign w:val="superscript"/>
    </w:rPr>
  </w:style>
  <w:style w:type="paragraph" w:styleId="NormaleWeb">
    <w:name w:val="Normal (Web)"/>
    <w:basedOn w:val="Normale"/>
    <w:uiPriority w:val="99"/>
    <w:unhideWhenUsed/>
    <w:rsid w:val="00806410"/>
    <w:pPr>
      <w:spacing w:before="100" w:beforeAutospacing="1" w:after="100" w:afterAutospacing="1"/>
    </w:pPr>
    <w:rPr>
      <w:rFonts w:ascii="Times New Roman" w:eastAsia="Times New Roman" w:hAnsi="Times New Roman"/>
      <w:sz w:val="24"/>
      <w:szCs w:val="24"/>
    </w:rPr>
  </w:style>
  <w:style w:type="paragraph" w:customStyle="1" w:styleId="Default">
    <w:name w:val="Default"/>
    <w:rsid w:val="00ED243A"/>
    <w:pPr>
      <w:autoSpaceDE w:val="0"/>
      <w:autoSpaceDN w:val="0"/>
      <w:adjustRightInd w:val="0"/>
      <w:spacing w:after="0" w:line="240" w:lineRule="auto"/>
    </w:pPr>
    <w:rPr>
      <w:rFonts w:ascii="Times New Roman" w:hAnsi="Times New Roman" w:cs="Times New Roman"/>
      <w:color w:val="000000"/>
      <w:kern w:val="0"/>
      <w14:ligatures w14:val="none"/>
    </w:rPr>
  </w:style>
  <w:style w:type="character" w:styleId="AcronimoHTML">
    <w:name w:val="HTML Acronym"/>
    <w:uiPriority w:val="99"/>
    <w:unhideWhenUsed/>
    <w:rsid w:val="00480115"/>
    <w:rPr>
      <w:vanish w:val="0"/>
      <w:webHidden w:val="0"/>
      <w:specVanish w:val="0"/>
    </w:rPr>
  </w:style>
  <w:style w:type="character" w:customStyle="1" w:styleId="pagcss12">
    <w:name w:val="pag____css_12"/>
    <w:rsid w:val="00480115"/>
    <w:rPr>
      <w:rFonts w:ascii="Times New Roman" w:hAnsi="Times New Roman" w:cs="Times New Roman" w:hint="default"/>
      <w:sz w:val="29"/>
      <w:szCs w:val="29"/>
    </w:rPr>
  </w:style>
  <w:style w:type="character" w:customStyle="1" w:styleId="pagcss91">
    <w:name w:val="pag____css_91"/>
    <w:rsid w:val="00480115"/>
    <w:rPr>
      <w:rFonts w:ascii="Times New Roman" w:hAnsi="Times New Roman" w:cs="Times New Roman" w:hint="default"/>
      <w:color w:val="000000"/>
    </w:rPr>
  </w:style>
  <w:style w:type="character" w:customStyle="1" w:styleId="pagcss21">
    <w:name w:val="pag____css_21"/>
    <w:rsid w:val="00480115"/>
    <w:rPr>
      <w:rFonts w:ascii="Times New Roman" w:hAnsi="Times New Roman" w:cs="Times New Roman" w:hint="default"/>
      <w:b/>
      <w:bCs/>
    </w:rPr>
  </w:style>
  <w:style w:type="character" w:customStyle="1" w:styleId="pagcss41">
    <w:name w:val="pag____css_41"/>
    <w:rsid w:val="00480115"/>
    <w:rPr>
      <w:rFonts w:ascii="Times New Roman" w:hAnsi="Times New Roman" w:cs="Times New Roman" w:hint="default"/>
      <w:i/>
      <w:iCs/>
    </w:rPr>
  </w:style>
  <w:style w:type="character" w:customStyle="1" w:styleId="pagcss31">
    <w:name w:val="pag____css_31"/>
    <w:rsid w:val="00480115"/>
    <w:rPr>
      <w:rFonts w:ascii="Times New Roman" w:hAnsi="Times New Roman" w:cs="Times New Roman" w:hint="default"/>
      <w:u w:val="single"/>
    </w:rPr>
  </w:style>
  <w:style w:type="character" w:styleId="Rimandocommento">
    <w:name w:val="annotation reference"/>
    <w:basedOn w:val="Carpredefinitoparagrafo"/>
    <w:uiPriority w:val="99"/>
    <w:semiHidden/>
    <w:unhideWhenUsed/>
    <w:rsid w:val="00B72212"/>
    <w:rPr>
      <w:sz w:val="16"/>
      <w:szCs w:val="16"/>
    </w:rPr>
  </w:style>
  <w:style w:type="paragraph" w:styleId="Testocommento">
    <w:name w:val="annotation text"/>
    <w:basedOn w:val="Normale"/>
    <w:link w:val="TestocommentoCarattere"/>
    <w:uiPriority w:val="99"/>
    <w:unhideWhenUsed/>
    <w:rsid w:val="00B72212"/>
    <w:rPr>
      <w:szCs w:val="20"/>
    </w:rPr>
  </w:style>
  <w:style w:type="character" w:customStyle="1" w:styleId="TestocommentoCarattere">
    <w:name w:val="Testo commento Carattere"/>
    <w:basedOn w:val="Carpredefinitoparagrafo"/>
    <w:link w:val="Testocommento"/>
    <w:uiPriority w:val="99"/>
    <w:rsid w:val="00B72212"/>
    <w:rPr>
      <w:rFonts w:asciiTheme="minorHAnsi" w:eastAsia="Calibri" w:hAnsiTheme="minorHAnsi" w:cs="Times New Roman"/>
      <w:kern w:val="0"/>
      <w:sz w:val="20"/>
      <w:szCs w:val="20"/>
      <w:lang w:eastAsia="it-IT"/>
      <w14:ligatures w14:val="none"/>
    </w:rPr>
  </w:style>
  <w:style w:type="paragraph" w:styleId="Soggettocommento">
    <w:name w:val="annotation subject"/>
    <w:basedOn w:val="Testocommento"/>
    <w:next w:val="Testocommento"/>
    <w:link w:val="SoggettocommentoCarattere"/>
    <w:uiPriority w:val="99"/>
    <w:semiHidden/>
    <w:unhideWhenUsed/>
    <w:rsid w:val="00B72212"/>
    <w:rPr>
      <w:b/>
      <w:bCs/>
    </w:rPr>
  </w:style>
  <w:style w:type="character" w:customStyle="1" w:styleId="SoggettocommentoCarattere">
    <w:name w:val="Soggetto commento Carattere"/>
    <w:basedOn w:val="TestocommentoCarattere"/>
    <w:link w:val="Soggettocommento"/>
    <w:uiPriority w:val="99"/>
    <w:semiHidden/>
    <w:rsid w:val="00B72212"/>
    <w:rPr>
      <w:rFonts w:asciiTheme="minorHAnsi" w:eastAsia="Calibri" w:hAnsiTheme="minorHAnsi" w:cs="Times New Roman"/>
      <w:b/>
      <w:bCs/>
      <w:kern w:val="0"/>
      <w:sz w:val="20"/>
      <w:szCs w:val="20"/>
      <w:lang w:eastAsia="it-IT"/>
      <w14:ligatures w14:val="none"/>
    </w:rPr>
  </w:style>
  <w:style w:type="character" w:customStyle="1" w:styleId="Titolo1Carattere">
    <w:name w:val="Titolo 1 Carattere"/>
    <w:basedOn w:val="Carpredefinitoparagrafo"/>
    <w:link w:val="Titolo1"/>
    <w:uiPriority w:val="9"/>
    <w:rsid w:val="002E720D"/>
    <w:rPr>
      <w:rFonts w:asciiTheme="majorHAnsi" w:eastAsiaTheme="majorEastAsia" w:hAnsiTheme="majorHAnsi" w:cstheme="majorBidi"/>
      <w:color w:val="2F5496" w:themeColor="accent1" w:themeShade="BF"/>
      <w:kern w:val="0"/>
      <w:sz w:val="32"/>
      <w:szCs w:val="32"/>
      <w:lang w:eastAsia="it-IT"/>
      <w14:ligatures w14:val="none"/>
    </w:rPr>
  </w:style>
  <w:style w:type="character" w:customStyle="1" w:styleId="Titolo2Carattere">
    <w:name w:val="Titolo 2 Carattere"/>
    <w:basedOn w:val="Carpredefinitoparagrafo"/>
    <w:link w:val="Titolo2"/>
    <w:uiPriority w:val="9"/>
    <w:semiHidden/>
    <w:rsid w:val="002E720D"/>
    <w:rPr>
      <w:rFonts w:asciiTheme="majorHAnsi" w:eastAsiaTheme="majorEastAsia" w:hAnsiTheme="majorHAnsi" w:cstheme="majorBidi"/>
      <w:color w:val="2F5496" w:themeColor="accent1" w:themeShade="BF"/>
      <w:kern w:val="0"/>
      <w:sz w:val="26"/>
      <w:szCs w:val="26"/>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25621">
      <w:bodyDiv w:val="1"/>
      <w:marLeft w:val="0"/>
      <w:marRight w:val="0"/>
      <w:marTop w:val="0"/>
      <w:marBottom w:val="0"/>
      <w:divBdr>
        <w:top w:val="none" w:sz="0" w:space="0" w:color="auto"/>
        <w:left w:val="none" w:sz="0" w:space="0" w:color="auto"/>
        <w:bottom w:val="none" w:sz="0" w:space="0" w:color="auto"/>
        <w:right w:val="none" w:sz="0" w:space="0" w:color="auto"/>
      </w:divBdr>
    </w:div>
    <w:div w:id="259342696">
      <w:bodyDiv w:val="1"/>
      <w:marLeft w:val="0"/>
      <w:marRight w:val="0"/>
      <w:marTop w:val="0"/>
      <w:marBottom w:val="0"/>
      <w:divBdr>
        <w:top w:val="none" w:sz="0" w:space="0" w:color="auto"/>
        <w:left w:val="none" w:sz="0" w:space="0" w:color="auto"/>
        <w:bottom w:val="none" w:sz="0" w:space="0" w:color="auto"/>
        <w:right w:val="none" w:sz="0" w:space="0" w:color="auto"/>
      </w:divBdr>
    </w:div>
    <w:div w:id="894008615">
      <w:bodyDiv w:val="1"/>
      <w:marLeft w:val="0"/>
      <w:marRight w:val="0"/>
      <w:marTop w:val="0"/>
      <w:marBottom w:val="0"/>
      <w:divBdr>
        <w:top w:val="none" w:sz="0" w:space="0" w:color="auto"/>
        <w:left w:val="none" w:sz="0" w:space="0" w:color="auto"/>
        <w:bottom w:val="none" w:sz="0" w:space="0" w:color="auto"/>
        <w:right w:val="none" w:sz="0" w:space="0" w:color="auto"/>
      </w:divBdr>
    </w:div>
    <w:div w:id="1062829284">
      <w:bodyDiv w:val="1"/>
      <w:marLeft w:val="0"/>
      <w:marRight w:val="0"/>
      <w:marTop w:val="0"/>
      <w:marBottom w:val="0"/>
      <w:divBdr>
        <w:top w:val="none" w:sz="0" w:space="0" w:color="auto"/>
        <w:left w:val="none" w:sz="0" w:space="0" w:color="auto"/>
        <w:bottom w:val="none" w:sz="0" w:space="0" w:color="auto"/>
        <w:right w:val="none" w:sz="0" w:space="0" w:color="auto"/>
      </w:divBdr>
    </w:div>
    <w:div w:id="1968074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988</Words>
  <Characters>5632</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 legal team</dc:creator>
  <cp:keywords/>
  <dc:description/>
  <cp:lastModifiedBy>Loris avv. Frontoni</cp:lastModifiedBy>
  <cp:revision>2</cp:revision>
  <dcterms:created xsi:type="dcterms:W3CDTF">2026-10-08T15:13:00Z</dcterms:created>
  <dcterms:modified xsi:type="dcterms:W3CDTF">2026-10-08T15:13:00Z</dcterms:modified>
</cp:coreProperties>
</file>